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257" w:rsidP="22EF370E" w:rsidRDefault="00AF2257" w14:paraId="6E7F8D33" w14:textId="2934399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Segoe UI"/>
          <w:color w:val="2F5496" w:themeColor="accent1" w:themeTint="FF" w:themeShade="BF"/>
          <w:sz w:val="32"/>
          <w:szCs w:val="32"/>
        </w:rPr>
      </w:pPr>
      <w:r w:rsidRPr="22EF370E" w:rsidR="00AF2257">
        <w:rPr>
          <w:rStyle w:val="normaltextrun"/>
          <w:rFonts w:ascii="Calibri" w:hAnsi="Calibri" w:cs="Segoe UI"/>
          <w:color w:val="2F5496" w:themeColor="accent1" w:themeTint="FF" w:themeShade="BF"/>
          <w:sz w:val="32"/>
          <w:szCs w:val="32"/>
        </w:rPr>
        <w:t>Charter: A Course</w:t>
      </w:r>
      <w:r w:rsidRPr="22EF370E" w:rsidR="00AF2257">
        <w:rPr>
          <w:rStyle w:val="eop"/>
          <w:rFonts w:ascii="Calibri" w:hAnsi="Calibri" w:cs="Segoe UI"/>
          <w:color w:val="2F5496" w:themeColor="accent1" w:themeTint="FF" w:themeShade="BF"/>
          <w:sz w:val="32"/>
          <w:szCs w:val="32"/>
        </w:rPr>
        <w:t> </w:t>
      </w:r>
    </w:p>
    <w:p w:rsidR="00AF2257" w:rsidP="00AF2257" w:rsidRDefault="00AF2257" w14:paraId="2E58BC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22"/>
          <w:szCs w:val="22"/>
        </w:rPr>
        <w:t>A podcast about Canadian Constitutional Law &amp; Litigation</w:t>
      </w:r>
      <w:r>
        <w:rPr>
          <w:rStyle w:val="eop"/>
          <w:rFonts w:ascii="Calibri" w:hAnsi="Calibri" w:cs="Segoe UI"/>
          <w:color w:val="2F5496"/>
          <w:sz w:val="22"/>
          <w:szCs w:val="22"/>
        </w:rPr>
        <w:t> </w:t>
      </w:r>
    </w:p>
    <w:p w:rsidR="00AF2257" w:rsidP="00AF2257" w:rsidRDefault="00AF2257" w14:paraId="1D5139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22EF370E" w:rsidRDefault="00AF2257" w14:paraId="50131DB2" w14:textId="2E5939A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2EF370E" w:rsidR="28612375">
        <w:rPr>
          <w:rStyle w:val="normaltextrun"/>
          <w:rFonts w:ascii="Calibri" w:hAnsi="Calibri" w:cs="Segoe U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Season 2, </w:t>
      </w:r>
      <w:r w:rsidRPr="22EF370E" w:rsidR="00AF2257">
        <w:rPr>
          <w:rStyle w:val="normaltextrun"/>
          <w:rFonts w:ascii="Calibri" w:hAnsi="Calibri" w:cs="Segoe U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Episode </w:t>
      </w:r>
      <w:r w:rsidRPr="22EF370E" w:rsidR="6C9A9588">
        <w:rPr>
          <w:rStyle w:val="normaltextrun"/>
          <w:rFonts w:ascii="Calibri" w:hAnsi="Calibri" w:cs="Segoe U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1</w:t>
      </w:r>
      <w:r w:rsidRPr="22EF370E" w:rsidR="00AF2257">
        <w:rPr>
          <w:rStyle w:val="normaltextrun"/>
          <w:rFonts w:ascii="Calibri" w:hAnsi="Calibri" w:cs="Segoe U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: Section </w:t>
      </w:r>
      <w:r w:rsidRPr="22EF370E" w:rsidR="00AF2257">
        <w:rPr>
          <w:rStyle w:val="normaltextrun"/>
          <w:rFonts w:ascii="Calibri" w:hAnsi="Calibri" w:cs="Segoe U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28 of the Charter and Feminist Law Reform</w:t>
      </w:r>
      <w:r w:rsidRPr="22EF370E" w:rsidR="00AF2257">
        <w:rPr>
          <w:rStyle w:val="eop"/>
          <w:rFonts w:ascii="Calibri" w:hAnsi="Calibri" w:cs="Segoe UI"/>
          <w:color w:val="000000" w:themeColor="text1" w:themeTint="FF" w:themeShade="FF"/>
          <w:sz w:val="28"/>
          <w:szCs w:val="28"/>
        </w:rPr>
        <w:t> </w:t>
      </w:r>
    </w:p>
    <w:p w:rsidR="00AF2257" w:rsidP="00AF2257" w:rsidRDefault="00AF2257" w14:paraId="08671F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00AF2257" w:rsidRDefault="00AF2257" w14:paraId="77263E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Series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:rsidR="00AF2257" w:rsidP="00AF2257" w:rsidRDefault="00AF2257" w14:paraId="1133D33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00AF2257" w:rsidRDefault="00AF2257" w14:paraId="0C3A1B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Charter: A Course is a podcast created by the David Asper Centre for Constitutional Rights (the Asper Centre) and hosted by the Asper Centre’s Executive Director </w:t>
      </w:r>
      <w:hyperlink w:tgtFrame="_blank" w:history="1" r:id="rId4">
        <w:r w:rsidRPr="00AF2257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Cher</w:t>
        </w:r>
        <w:r w:rsidRPr="00AF2257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y</w:t>
        </w:r>
        <w:r w:rsidRPr="00AF2257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l Milne</w:t>
        </w:r>
      </w:hyperlink>
      <w:r w:rsidRPr="00AF2257">
        <w:rPr>
          <w:rStyle w:val="normaltextrun"/>
          <w:color w:val="000000"/>
          <w:u w:val="single"/>
        </w:rPr>
        <w:t>.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:rsidR="00AF2257" w:rsidP="00AF2257" w:rsidRDefault="00AF2257" w14:paraId="2C4869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F2257" w:rsidP="00AF2257" w:rsidRDefault="00AF2257" w14:paraId="70FF57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Charter: A Course focuses on Canadian constitutional law and litigation. In each episode, we highlight the accomplishments of U of T Law’s faculty and alumni involved in leading constitutional cases and issues. Each episode also includes a “Practice Corner,” where we talk about the ins and outs of what it means to be a constitutional litigator. 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00AF2257" w:rsidRDefault="00AF2257" w14:paraId="0ED34C7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00AF2257" w:rsidRDefault="00AF2257" w14:paraId="5B29F3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Whether you are a law student, a lawyer, or just an interested person, we hope that you learn about an aspect of constitutional law and litigation that interests you in our podcast.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00AF2257" w:rsidRDefault="00AF2257" w14:paraId="736421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22EF370E" w:rsidRDefault="00AF2257" w14:paraId="6352FAA7" w14:textId="18477CE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2EF370E" w:rsidR="00AF2257">
        <w:rPr>
          <w:rStyle w:val="normaltextrun"/>
          <w:rFonts w:ascii="Calibri" w:hAnsi="Calibri" w:cs="Segoe UI"/>
          <w:color w:val="2F5496" w:themeColor="accent1" w:themeTint="FF" w:themeShade="BF"/>
          <w:sz w:val="32"/>
          <w:szCs w:val="32"/>
        </w:rPr>
        <w:t>Show Notes </w:t>
      </w:r>
      <w:r w:rsidRPr="22EF370E" w:rsidR="00AF2257">
        <w:rPr>
          <w:rStyle w:val="eop"/>
          <w:rFonts w:ascii="Calibri" w:hAnsi="Calibri" w:cs="Segoe UI"/>
          <w:color w:val="2F5496" w:themeColor="accent1" w:themeTint="FF" w:themeShade="BF"/>
          <w:sz w:val="32"/>
          <w:szCs w:val="32"/>
        </w:rPr>
        <w:t> </w:t>
      </w:r>
    </w:p>
    <w:p w:rsidR="00AF2257" w:rsidP="00AF2257" w:rsidRDefault="00AF2257" w14:paraId="0166CA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22EF370E" w:rsidRDefault="00AF2257" w14:paraId="4BD07641" w14:textId="328A5F5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This episode focuses on section 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28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of the Canadian Charter of Rights and Freedoms, which states 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that no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twithstanding anything in 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the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Charter, the rights and freedoms referred to in it are guaranteed equally to male and female persons.</w:t>
      </w:r>
      <w:r w:rsidRPr="22EF370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</w:t>
      </w:r>
    </w:p>
    <w:p w:rsidR="22EF370E" w:rsidP="22EF370E" w:rsidRDefault="22EF370E" w14:paraId="747CB490" w14:textId="121119CE">
      <w:pPr>
        <w:pStyle w:val="paragraph"/>
        <w:spacing w:before="0" w:beforeAutospacing="off" w:after="0" w:afterAutospacing="off"/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</w:pPr>
    </w:p>
    <w:p w:rsidR="00AF2257" w:rsidP="5C5F032E" w:rsidRDefault="00AF2257" w14:paraId="3C9C909D" w14:textId="67DE14AF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With the help of our distinguished guest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</w:t>
      </w:r>
      <w:hyperlink r:id="R7c33b3653fa14c41">
        <w:r w:rsidRPr="5C5F032E" w:rsidR="00AF2257">
          <w:rPr>
            <w:rStyle w:val="Hyperlink"/>
            <w:rFonts w:ascii="Calibri" w:hAnsi="Calibri" w:cs="Segoe UI"/>
            <w:sz w:val="22"/>
            <w:szCs w:val="22"/>
          </w:rPr>
          <w:t xml:space="preserve">Professor Kerri </w:t>
        </w:r>
        <w:r w:rsidRPr="5C5F032E" w:rsidR="00AF2257">
          <w:rPr>
            <w:rStyle w:val="Hyperlink"/>
            <w:rFonts w:ascii="Calibri" w:hAnsi="Calibri" w:cs="Segoe UI"/>
            <w:sz w:val="22"/>
            <w:szCs w:val="22"/>
          </w:rPr>
          <w:t>Froc</w:t>
        </w:r>
      </w:hyperlink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we trace the history of Section 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28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and its </w:t>
      </w:r>
      <w:r w:rsidRPr="5C5F032E" w:rsidR="00B2455F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questionable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usage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in jurisprudence</w:t>
      </w: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, before discussing how a case currently making its way to the Quebec Court of Appeal may provide an opportunity for Section 28 to truly shine for the first time. </w:t>
      </w:r>
      <w:r>
        <w:br/>
      </w:r>
    </w:p>
    <w:p w:rsidR="00AF2257" w:rsidP="5C5F032E" w:rsidRDefault="00AF2257" w14:paraId="5D64B345" w14:textId="66D65BC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In the Practice Corner, </w:t>
      </w:r>
      <w:hyperlink r:id="R7b8ce296dc704888">
        <w:r w:rsidRPr="5C5F032E" w:rsidR="00AF2257">
          <w:rPr>
            <w:rStyle w:val="Hyperlink"/>
            <w:rFonts w:ascii="Calibri" w:hAnsi="Calibri" w:cs="Segoe UI"/>
            <w:sz w:val="22"/>
            <w:szCs w:val="22"/>
          </w:rPr>
          <w:t>Professor Martha Jackman</w:t>
        </w:r>
      </w:hyperlink>
      <w:r w:rsidRPr="5C5F032E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tells us about Feminist Law Reform 101, a free online course designed to provide the tools to teach and inspire a new generation of feminist legal advocates like the ones who brought Section 28 into being. </w:t>
      </w:r>
      <w:r>
        <w:br/>
      </w:r>
    </w:p>
    <w:p w:rsidR="00AF2257" w:rsidP="3AA1E90A" w:rsidRDefault="00AF2257" w14:paraId="7B3E4EE8" w14:textId="7323916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AA1E90A" w:rsidR="00AF2257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>Find a full transcript of this episode</w:t>
      </w:r>
      <w:r w:rsidRPr="3AA1E90A" w:rsidR="00AF2257">
        <w:rPr>
          <w:rStyle w:val="normaltextrun"/>
          <w:rFonts w:ascii="Calibri" w:hAnsi="Calibri" w:cs="Segoe UI"/>
          <w:sz w:val="22"/>
          <w:szCs w:val="22"/>
        </w:rPr>
        <w:t xml:space="preserve"> </w:t>
      </w:r>
      <w:hyperlink r:id="R16d72c5628454858">
        <w:r w:rsidRPr="3AA1E90A" w:rsidR="4AB96E95">
          <w:rPr>
            <w:rStyle w:val="Hyperlink"/>
            <w:rFonts w:ascii="Calibri" w:hAnsi="Calibri" w:cs="Segoe UI"/>
            <w:sz w:val="22"/>
            <w:szCs w:val="22"/>
          </w:rPr>
          <w:t>HERE</w:t>
        </w:r>
        <w:r w:rsidRPr="3AA1E90A" w:rsidR="2403A3C6">
          <w:rPr>
            <w:rStyle w:val="Hyperlink"/>
            <w:rFonts w:ascii="Calibri" w:hAnsi="Calibri" w:cs="Segoe UI"/>
            <w:sz w:val="22"/>
            <w:szCs w:val="22"/>
          </w:rPr>
          <w:t>.</w:t>
        </w:r>
        <w:r>
          <w:br/>
        </w:r>
      </w:hyperlink>
    </w:p>
    <w:p w:rsidR="00AF2257" w:rsidP="00AF2257" w:rsidRDefault="00AF2257" w14:paraId="206609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Case Links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:rsidR="00AF2257" w:rsidP="00AF2257" w:rsidRDefault="00AF2257" w14:paraId="42D0A140" w14:textId="40D8C3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In this episode, the following cases were discussed: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Pr="00AF2257" w:rsidR="00AF2257" w:rsidP="00AF2257" w:rsidRDefault="00AF2257" w14:paraId="011AF2E3" w14:textId="300139E9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5">
        <w:r w:rsidRPr="00AF2257">
          <w:rPr>
            <w:rStyle w:val="Hyperlink"/>
            <w:rFonts w:ascii="Calibri" w:hAnsi="Calibri" w:cs="Segoe UI"/>
            <w:sz w:val="22"/>
            <w:szCs w:val="22"/>
          </w:rPr>
          <w:t>Bliss v Canada (AG) [1979] 1 SCR 183</w:t>
        </w:r>
      </w:hyperlink>
    </w:p>
    <w:p w:rsidRPr="00AF2257" w:rsidR="00AF2257" w:rsidP="00AF2257" w:rsidRDefault="00AF2257" w14:paraId="01E4AB29" w14:textId="4E2BE26B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6">
        <w:r w:rsidRPr="00AF2257">
          <w:rPr>
            <w:rStyle w:val="Hyperlink"/>
            <w:rFonts w:ascii="Calibri" w:hAnsi="Calibri" w:cs="Segoe UI"/>
            <w:sz w:val="22"/>
            <w:szCs w:val="22"/>
          </w:rPr>
          <w:t>Canada (AG) v Lavell, [1974] SCR 1349</w:t>
        </w:r>
      </w:hyperlink>
    </w:p>
    <w:p w:rsidRPr="00AF2257" w:rsidR="00AF2257" w:rsidP="00AF2257" w:rsidRDefault="00AF2257" w14:paraId="3C86FC51" w14:textId="5A031135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7">
        <w:r w:rsidRPr="00AF2257">
          <w:rPr>
            <w:rStyle w:val="Hyperlink"/>
            <w:rFonts w:ascii="Calibri" w:hAnsi="Calibri" w:cs="Segoe UI"/>
            <w:sz w:val="22"/>
            <w:szCs w:val="22"/>
          </w:rPr>
          <w:t>Andrews v Law Society of British Columbia, [1989] 1 SCR 143</w:t>
        </w:r>
      </w:hyperlink>
      <w:r w:rsidRPr="00AF2257">
        <w:rPr>
          <w:rStyle w:val="eop"/>
          <w:rFonts w:ascii="Calibri" w:hAnsi="Calibri" w:cs="Segoe UI"/>
          <w:color w:val="000000"/>
          <w:sz w:val="22"/>
          <w:szCs w:val="22"/>
        </w:rPr>
        <w:t xml:space="preserve"> </w:t>
      </w:r>
    </w:p>
    <w:p w:rsidRPr="00AF2257" w:rsidR="00AF2257" w:rsidP="00AF2257" w:rsidRDefault="00AF2257" w14:paraId="218A8C26" w14:textId="221334F1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8">
        <w:r w:rsidRPr="00AF2257">
          <w:rPr>
            <w:rStyle w:val="Hyperlink"/>
            <w:rFonts w:ascii="Calibri" w:hAnsi="Calibri" w:cs="Segoe UI"/>
            <w:sz w:val="22"/>
            <w:szCs w:val="22"/>
          </w:rPr>
          <w:t>R v Hess; R v Nguyen, [1990] 2 SCR 906</w:t>
        </w:r>
      </w:hyperlink>
    </w:p>
    <w:p w:rsidRPr="00AF2257" w:rsidR="00AF2257" w:rsidP="00AF2257" w:rsidRDefault="00AF2257" w14:paraId="5B2F5B6E" w14:textId="18F46E3A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9">
        <w:r w:rsidRPr="00AF2257">
          <w:rPr>
            <w:rStyle w:val="Hyperlink"/>
            <w:rFonts w:ascii="Calibri" w:hAnsi="Calibri" w:cs="Segoe UI"/>
            <w:sz w:val="22"/>
            <w:szCs w:val="22"/>
          </w:rPr>
          <w:t>Blainey v Ontario Hoc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>k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>ey Association (1986) 54 OR (2d) 513</w:t>
        </w:r>
      </w:hyperlink>
    </w:p>
    <w:p w:rsidRPr="00AF2257" w:rsidR="00AF2257" w:rsidP="00AF2257" w:rsidRDefault="00AF2257" w14:paraId="42D36BB2" w14:textId="497B4A96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10">
        <w:r w:rsidRPr="00AF2257">
          <w:rPr>
            <w:rStyle w:val="Hyperlink"/>
            <w:rFonts w:ascii="Calibri" w:hAnsi="Calibri" w:cs="Segoe UI"/>
            <w:sz w:val="22"/>
            <w:szCs w:val="22"/>
          </w:rPr>
          <w:t>Newfoundland (Treasury Board) v. N.A.P.E., [200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>4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>] 3 SCR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 xml:space="preserve"> </w:t>
        </w:r>
        <w:r w:rsidRPr="00AF2257">
          <w:rPr>
            <w:rStyle w:val="Hyperlink"/>
            <w:rFonts w:ascii="Calibri" w:hAnsi="Calibri" w:cs="Segoe UI"/>
            <w:sz w:val="22"/>
            <w:szCs w:val="22"/>
          </w:rPr>
          <w:t>381, 2004 SCC 66</w:t>
        </w:r>
      </w:hyperlink>
    </w:p>
    <w:p w:rsidR="00AF2257" w:rsidP="00AF2257" w:rsidRDefault="00AF2257" w14:paraId="367B18C6" w14:textId="03C8C96F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w:history="1" r:id="rId11">
        <w:r w:rsidRPr="00AF2257">
          <w:rPr>
            <w:rStyle w:val="Hyperlink"/>
            <w:rFonts w:ascii="Calibri" w:hAnsi="Calibri" w:cs="Segoe UI"/>
            <w:sz w:val="22"/>
            <w:szCs w:val="22"/>
          </w:rPr>
          <w:t xml:space="preserve">Centrale des </w:t>
        </w:r>
        <w:proofErr w:type="spellStart"/>
        <w:r w:rsidRPr="00AF2257">
          <w:rPr>
            <w:rStyle w:val="Hyperlink"/>
            <w:rFonts w:ascii="Calibri" w:hAnsi="Calibri" w:cs="Segoe UI"/>
            <w:sz w:val="22"/>
            <w:szCs w:val="22"/>
          </w:rPr>
          <w:t>syndicats</w:t>
        </w:r>
        <w:proofErr w:type="spellEnd"/>
        <w:r w:rsidRPr="00AF2257">
          <w:rPr>
            <w:rStyle w:val="Hyperlink"/>
            <w:rFonts w:ascii="Calibri" w:hAnsi="Calibri" w:cs="Segoe UI"/>
            <w:sz w:val="22"/>
            <w:szCs w:val="22"/>
          </w:rPr>
          <w:t xml:space="preserve"> du Québec v. Quebec (Attorney General), 2018 SCC 18, [2018] 1 SCR 522</w:t>
        </w:r>
      </w:hyperlink>
    </w:p>
    <w:p w:rsidR="00B2455F" w:rsidP="00AF2257" w:rsidRDefault="00B2455F" w14:paraId="179446F8" w14:textId="054801C1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hyperlink r:id="R54ef6afcfe654bbe"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>Hak</w:t>
        </w:r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 xml:space="preserve"> c. </w:t>
        </w:r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>Procureure</w:t>
        </w:r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 xml:space="preserve"> </w:t>
        </w:r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>générale</w:t>
        </w:r>
        <w:r w:rsidRPr="6084E14F" w:rsidR="00B2455F">
          <w:rPr>
            <w:rStyle w:val="Hyperlink"/>
            <w:rFonts w:ascii="Calibri" w:hAnsi="Calibri" w:cs="Segoe UI"/>
            <w:sz w:val="22"/>
            <w:szCs w:val="22"/>
          </w:rPr>
          <w:t xml:space="preserve"> du Québec, 2019 QCCS 2989</w:t>
        </w:r>
        <w:r>
          <w:br/>
        </w:r>
      </w:hyperlink>
    </w:p>
    <w:p w:rsidR="00AF2257" w:rsidP="663A615D" w:rsidRDefault="00AF2257" w14:paraId="69774445" w14:textId="406CFF4A">
      <w:pPr>
        <w:pStyle w:val="paragraph"/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</w:pPr>
      <w:r w:rsidRPr="663A615D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Kerri</w:t>
      </w:r>
      <w:r w:rsidRPr="663A615D" w:rsidR="08ED83E5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Froc</w:t>
      </w:r>
      <w:r w:rsidRPr="663A615D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’s new article:</w:t>
      </w:r>
    </w:p>
    <w:p w:rsidRPr="00AF2257" w:rsidR="00AF2257" w:rsidP="00AF2257" w:rsidRDefault="00AF2257" w14:paraId="0E2CDE30" w14:textId="67F7DCD3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proofErr w:type="spellStart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Froc</w:t>
      </w:r>
      <w:proofErr w:type="spellEnd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, Kerri, A Law in Rupture: Section 28, Equal Rights, and the Constitutionality of Québec's Bill 21 Religious Symbols Ban (July 24, 2022). "The Surprising Constitution," edited by Howard </w:t>
      </w:r>
      <w:proofErr w:type="spellStart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Kislowicz</w:t>
      </w:r>
      <w:proofErr w:type="spellEnd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, Richard Moon and Kerri </w:t>
      </w:r>
      <w:proofErr w:type="spellStart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Froc</w:t>
      </w:r>
      <w:proofErr w:type="spellEnd"/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.</w:t>
      </w:r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</w:t>
      </w:r>
      <w:hyperlink r:id="Rcf9a3394491f4ffe">
        <w:r w:rsidRPr="3AA1E90A" w:rsidR="00AF2257">
          <w:rPr>
            <w:rStyle w:val="Hyperlink"/>
            <w:rFonts w:ascii="Calibri" w:hAnsi="Calibri" w:cs="Segoe UI"/>
            <w:sz w:val="22"/>
            <w:szCs w:val="22"/>
          </w:rPr>
          <w:t>https://papers.ssrn.com/sol3/papers.cfm?abstract_id=4171256</w:t>
        </w:r>
        <w:r>
          <w:br/>
        </w:r>
        <w:r>
          <w:br/>
        </w:r>
      </w:hyperlink>
      <w:r w:rsidRPr="3AA1E90A" w:rsidR="45EBE72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NAWL </w:t>
      </w:r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Feminist Law Reform 101</w:t>
      </w:r>
      <w:r w:rsidRPr="3AA1E90A" w:rsidR="6D68E9EB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 Course</w:t>
      </w:r>
      <w:r w:rsidRPr="3AA1E90A" w:rsidR="00AF2257"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  <w:t>:</w:t>
      </w:r>
    </w:p>
    <w:p w:rsidR="00AF2257" w:rsidP="00AF2257" w:rsidRDefault="00AF2257" w14:paraId="0C048BE4" w14:textId="01951E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w:history="1" r:id="rId14">
        <w:r w:rsidRPr="00AF2257">
          <w:rPr>
            <w:rStyle w:val="Hyperlink"/>
            <w:rFonts w:ascii="Calibri" w:hAnsi="Calibri" w:cs="Segoe UI"/>
            <w:sz w:val="22"/>
            <w:szCs w:val="22"/>
          </w:rPr>
          <w:t>https://nawl.ca/feminist-law-reform-101/ </w:t>
        </w:r>
      </w:hyperlink>
      <w:r>
        <w:rPr>
          <w:rStyle w:val="eop"/>
          <w:rFonts w:ascii="Calibri" w:hAnsi="Calibri" w:cs="Segoe UI"/>
          <w:color w:val="000000"/>
          <w:sz w:val="22"/>
          <w:szCs w:val="22"/>
        </w:rPr>
        <w:br/>
      </w:r>
      <w:r>
        <w:rPr>
          <w:rStyle w:val="eop"/>
          <w:rFonts w:ascii="Calibri" w:hAnsi="Calibri" w:cs="Segoe UI"/>
          <w:color w:val="000000"/>
          <w:sz w:val="22"/>
          <w:szCs w:val="22"/>
        </w:rPr>
        <w:br/>
      </w:r>
    </w:p>
    <w:p w:rsidR="00AF2257" w:rsidP="00AF2257" w:rsidRDefault="00AF2257" w14:paraId="70711D6D" w14:textId="58C61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Asper Centre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:rsidR="00AF2257" w:rsidP="00AF2257" w:rsidRDefault="00AF2257" w14:paraId="3E82D3A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The </w:t>
      </w:r>
      <w:hyperlink w:tgtFrame="_blank" w:history="1" r:id="rId15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Asper Centre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, a part of the </w:t>
      </w:r>
      <w:hyperlink w:tgtFrame="_blank" w:history="1" r:id="rId16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University of Toronto’s Faculty of Law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since 2008, is devoted to realizing constitutional rights through advocacy, research and education. The Centre aims to play a vital role in articulating Canada’s constitutional vision to the broader world. The cornerstone of the Centre is a legal clinic that brings together students, faculty and members of the bar to work on significant constitutional cases and advocacy initiatives. The Centre was established through a generous gift from U of T law alumnus </w:t>
      </w:r>
      <w:hyperlink w:tgtFrame="_blank" w:history="1" r:id="rId17">
        <w:r>
          <w:rPr>
            <w:rStyle w:val="normaltextrun"/>
            <w:rFonts w:ascii="Calibri" w:hAnsi="Calibri" w:cs="Segoe UI"/>
            <w:color w:val="000000"/>
            <w:sz w:val="22"/>
            <w:szCs w:val="22"/>
          </w:rPr>
          <w:t>David Asper 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>(LLM ’07).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00AF2257" w:rsidRDefault="00AF2257" w14:paraId="3BFDE3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:rsidR="00AF2257" w:rsidP="00AF2257" w:rsidRDefault="00AF2257" w14:paraId="160FF2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 xml:space="preserve">Thank </w:t>
      </w:r>
      <w:proofErr w:type="spellStart"/>
      <w:r>
        <w:rPr>
          <w:rStyle w:val="normaltextrun"/>
          <w:rFonts w:ascii="Calibri" w:hAnsi="Calibri" w:cs="Segoe UI"/>
          <w:color w:val="2F5496"/>
          <w:sz w:val="32"/>
          <w:szCs w:val="32"/>
        </w:rPr>
        <w:t>You’s</w:t>
      </w:r>
      <w:proofErr w:type="spellEnd"/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:rsidR="00AF2257" w:rsidP="00AF2257" w:rsidRDefault="00AF2257" w14:paraId="7CE4E3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22EF370E" w:rsidRDefault="00AF2257" w14:paraId="73EBF57C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Charter: A Course is proudly sponsored by the University of Toronto’s affinity partner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</w:t>
      </w:r>
      <w:r w:rsidR="00AF2257">
        <w:rPr>
          <w:rStyle w:val="normaltextrun"/>
          <w:rFonts w:ascii="Calibri" w:hAnsi="Calibri" w:cs="Segoe UI"/>
          <w:b w:val="1"/>
          <w:bCs w:val="1"/>
          <w:color w:val="000000"/>
          <w:sz w:val="22"/>
          <w:szCs w:val="22"/>
          <w:shd w:val="clear" w:color="auto" w:fill="FFFFFF"/>
        </w:rPr>
        <w:t>TD Insurance.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</w:t>
      </w:r>
      <w:bookmarkStart w:name="_Int_FU7waYbg" w:id="28180472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We would like to thank our sponsor, and you can discover the benefits of affinity products at </w:t>
      </w:r>
      <w:hyperlink w:tgtFrame="_blank" w:history="1" r:id="Re8545996dc4e4173">
        <w:r w:rsidR="00AF2257">
          <w:rPr>
            <w:rStyle w:val="normaltextrun"/>
            <w:rFonts w:ascii="Calibri" w:hAnsi="Calibri" w:cs="Segoe UI"/>
            <w:color w:val="0000FF"/>
            <w:sz w:val="22"/>
            <w:szCs w:val="22"/>
            <w:shd w:val="clear" w:color="auto" w:fill="FFFFFF"/>
          </w:rPr>
          <w:t>bit.ly/affinity-offers</w:t>
        </w:r>
      </w:hyperlink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.</w:t>
      </w:r>
      <w:bookmarkEnd w:id="28180472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 </w:t>
      </w:r>
      <w:r w:rsidR="00AF2257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22EF370E" w:rsidP="22EF370E" w:rsidRDefault="22EF370E" w14:paraId="6B38D7FF" w14:textId="39F7C922">
      <w:pPr>
        <w:pStyle w:val="paragraph"/>
        <w:spacing w:before="0" w:beforeAutospacing="off" w:after="0" w:afterAutospacing="off"/>
        <w:rPr>
          <w:rStyle w:val="eop"/>
          <w:rFonts w:ascii="Calibri" w:hAnsi="Calibri" w:cs="Segoe UI"/>
          <w:color w:val="000000" w:themeColor="text1" w:themeTint="FF" w:themeShade="FF"/>
          <w:sz w:val="22"/>
          <w:szCs w:val="22"/>
        </w:rPr>
      </w:pPr>
    </w:p>
    <w:p w:rsidR="00AF2257" w:rsidP="663A615D" w:rsidRDefault="00AF2257" w14:paraId="3E358278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bookmarkStart w:name="_Int_w4nWDOOQ" w:id="1343150041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We would like to thank the creators of our theme music for Charter: A Course.</w:t>
      </w:r>
      <w:bookmarkEnd w:id="1343150041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 Constitutional law professor Howie </w:t>
      </w:r>
      <w:proofErr w:type="spellStart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Kislowicz</w:t>
      </w:r>
      <w:proofErr w:type="spellEnd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 and law professor Rob Currie gave us the licence to use their constitutional law shanty in exchange for a donation to the Calgary Food Bank. The song’s performers </w:t>
      </w:r>
      <w:proofErr w:type="gramStart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are:</w:t>
      </w:r>
      <w:proofErr w:type="gramEnd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Vanessa Carroll, Rob Currie, Howie </w:t>
      </w:r>
      <w:proofErr w:type="spellStart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Kislowicz</w:t>
      </w:r>
      <w:proofErr w:type="spellEnd"/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, 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Avinash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Kowshik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, Anna Lund, Patricia Paradis, Elin 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Sigurdson</w:t>
      </w:r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, Lyle Skinner, and Dave Wright. You can listen to the entire shanty here: </w:t>
      </w:r>
      <w:hyperlink w:tgtFrame="_blank" w:history="1" r:id="Re291a20e9e0d4622">
        <w:r w:rsidR="00AF2257">
          <w:rPr>
            <w:rStyle w:val="normaltextrun"/>
            <w:rFonts w:ascii="Calibri" w:hAnsi="Calibri" w:cs="Segoe UI"/>
            <w:color w:val="0563C1"/>
            <w:sz w:val="22"/>
            <w:szCs w:val="22"/>
            <w:shd w:val="clear" w:color="auto" w:fill="FFFFFF"/>
          </w:rPr>
          <w:t xml:space="preserve">Charter </w:t>
        </w:r>
        <w:r w:rsidR="00AF2257">
          <w:rPr>
            <w:rStyle w:val="normaltextrun"/>
            <w:rFonts w:ascii="Calibri" w:hAnsi="Calibri" w:cs="Segoe UI"/>
            <w:color w:val="0563C1"/>
            <w:sz w:val="22"/>
            <w:szCs w:val="22"/>
            <w:shd w:val="clear" w:color="auto" w:fill="FFFFFF"/>
          </w:rPr>
          <w:t>a</w:t>
        </w:r>
        <w:r w:rsidR="00AF2257">
          <w:rPr>
            <w:rStyle w:val="normaltextrun"/>
            <w:rFonts w:ascii="Calibri" w:hAnsi="Calibri" w:cs="Segoe UI"/>
            <w:color w:val="0563C1"/>
            <w:sz w:val="22"/>
            <w:szCs w:val="22"/>
            <w:shd w:val="clear" w:color="auto" w:fill="FFFFFF"/>
          </w:rPr>
          <w:t xml:space="preserve"> Course</w:t>
        </w:r>
      </w:hyperlink>
      <w:r w:rsidR="00AF225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.  Please consider contributing to your local food bank! </w:t>
      </w:r>
      <w:r w:rsidR="00AF2257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AF2257" w:rsidP="00AF2257" w:rsidRDefault="00AF2257" w14:paraId="25DB09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22EF370E" w:rsidRDefault="00AF2257" w14:paraId="5EFA71DC" w14:textId="74E0DA9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Thank you to </w:t>
      </w:r>
      <w:r w:rsidR="11C35CDB"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Kathryn Mullins, </w:t>
      </w: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>JD student at the University of Toronto Faculty of Law</w:t>
      </w:r>
      <w:r w:rsidR="7AE264BF"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 and Asper Centre Summer Research Assistant</w:t>
      </w: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>, for h</w:t>
      </w:r>
      <w:r w:rsidR="1CFAD956">
        <w:rPr>
          <w:rStyle w:val="normaltextrun"/>
          <w:rFonts w:ascii="Calibri" w:hAnsi="Calibri" w:cs="Segoe UI"/>
          <w:color w:val="000000"/>
          <w:shd w:val="clear" w:color="auto" w:fill="FFFFFF"/>
        </w:rPr>
        <w:t>er</w:t>
      </w: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 contributions to the production of this episode. </w:t>
      </w:r>
      <w:r w:rsidR="00AF2257">
        <w:rPr>
          <w:rStyle w:val="eop"/>
          <w:rFonts w:ascii="Calibri" w:hAnsi="Calibri" w:cs="Segoe UI"/>
          <w:color w:val="000000"/>
        </w:rPr>
        <w:t> </w:t>
      </w:r>
    </w:p>
    <w:p w:rsidR="00AF2257" w:rsidP="00AF2257" w:rsidRDefault="00AF2257" w14:paraId="48EEDF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hd w:val="clear" w:color="auto" w:fill="FFFFFF"/>
        </w:rPr>
        <w:t> </w:t>
      </w:r>
      <w:r>
        <w:rPr>
          <w:rStyle w:val="eop"/>
          <w:rFonts w:ascii="Calibri" w:hAnsi="Calibri" w:cs="Segoe UI"/>
          <w:color w:val="000000"/>
        </w:rPr>
        <w:t> </w:t>
      </w:r>
    </w:p>
    <w:p w:rsidR="00AF2257" w:rsidP="00AF2257" w:rsidRDefault="00AF2257" w14:paraId="0EF5EFBD" w14:textId="58CE4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Thank you to our wonderful guests on this episode, </w:t>
      </w:r>
      <w:r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Professors Kerri </w:t>
      </w:r>
      <w:proofErr w:type="spellStart"/>
      <w:r>
        <w:rPr>
          <w:rStyle w:val="normaltextrun"/>
          <w:rFonts w:ascii="Calibri" w:hAnsi="Calibri" w:cs="Segoe UI"/>
          <w:color w:val="000000"/>
          <w:shd w:val="clear" w:color="auto" w:fill="FFFFFF"/>
        </w:rPr>
        <w:t>Froc</w:t>
      </w:r>
      <w:proofErr w:type="spellEnd"/>
      <w:r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 and Martha Jackman</w:t>
      </w:r>
      <w:r>
        <w:rPr>
          <w:rStyle w:val="normaltextrun"/>
          <w:rFonts w:ascii="Calibri" w:hAnsi="Calibri" w:cs="Segoe UI"/>
          <w:color w:val="000000"/>
          <w:shd w:val="clear" w:color="auto" w:fill="FFFFFF"/>
        </w:rPr>
        <w:t>!</w:t>
      </w:r>
      <w:r>
        <w:rPr>
          <w:rStyle w:val="eop"/>
          <w:rFonts w:ascii="Calibri" w:hAnsi="Calibri" w:cs="Segoe UI"/>
          <w:color w:val="000000"/>
        </w:rPr>
        <w:t> </w:t>
      </w:r>
    </w:p>
    <w:p w:rsidR="00AF2257" w:rsidP="00AF2257" w:rsidRDefault="00AF2257" w14:paraId="0BFAE6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F2257" w:rsidP="00AF2257" w:rsidRDefault="00AF2257" w14:paraId="3362CE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Thank you to our audio editor Liam Morrison of </w:t>
      </w:r>
      <w:hyperlink w:tgtFrame="_blank" w:history="1" r:id="rId21">
        <w:r>
          <w:rPr>
            <w:rStyle w:val="normaltextrun"/>
            <w:rFonts w:ascii="Calibri" w:hAnsi="Calibri" w:cs="Segoe UI"/>
            <w:color w:val="0563C1"/>
            <w:shd w:val="clear" w:color="auto" w:fill="FFFFFF"/>
          </w:rPr>
          <w:t>Bell Room Media Solutions</w:t>
        </w:r>
      </w:hyperlink>
      <w:r>
        <w:rPr>
          <w:rStyle w:val="normaltextrun"/>
          <w:rFonts w:ascii="Calibri" w:hAnsi="Calibri" w:cs="Segoe UI"/>
          <w:color w:val="000000"/>
          <w:shd w:val="clear" w:color="auto" w:fill="FFFFFF"/>
        </w:rPr>
        <w:t>. </w:t>
      </w:r>
      <w:r>
        <w:rPr>
          <w:rStyle w:val="eop"/>
          <w:rFonts w:ascii="Calibri" w:hAnsi="Calibri" w:cs="Segoe UI"/>
          <w:color w:val="000000"/>
        </w:rPr>
        <w:t> </w:t>
      </w:r>
    </w:p>
    <w:p w:rsidR="00AF2257" w:rsidP="00AF2257" w:rsidRDefault="00AF2257" w14:paraId="709DAD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Pr="00AF2257" w:rsidR="00A924EC" w:rsidP="22EF370E" w:rsidRDefault="00AF2257" w14:paraId="23E53818" w14:textId="0FC0F82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 xml:space="preserve">Lastly, we are very grateful to you, our listeners, for taking the time to join us on as we </w:t>
      </w:r>
      <w:r w:rsidR="652A71B3">
        <w:rPr>
          <w:rStyle w:val="normaltextrun"/>
          <w:rFonts w:ascii="Calibri" w:hAnsi="Calibri" w:cs="Segoe UI"/>
          <w:color w:val="000000"/>
          <w:shd w:val="clear" w:color="auto" w:fill="FFFFFF"/>
        </w:rPr>
        <w:t>continue to C</w:t>
      </w:r>
      <w:r w:rsidR="00AF2257">
        <w:rPr>
          <w:rStyle w:val="normaltextrun"/>
          <w:rFonts w:ascii="Calibri" w:hAnsi="Calibri" w:cs="Segoe UI"/>
          <w:color w:val="000000"/>
          <w:shd w:val="clear" w:color="auto" w:fill="FFFFFF"/>
        </w:rPr>
        <w:t>harter a course into podcasting! </w:t>
      </w:r>
      <w:r w:rsidR="00AF2257">
        <w:rPr>
          <w:rStyle w:val="eop"/>
          <w:rFonts w:ascii="Calibri" w:hAnsi="Calibri" w:cs="Segoe UI"/>
          <w:color w:val="000000"/>
        </w:rPr>
        <w:t> </w:t>
      </w:r>
    </w:p>
    <w:sectPr w:rsidRPr="00AF2257" w:rsidR="00A924EC" w:rsidSect="00F93A5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U7waYbg" int2:invalidationBookmarkName="" int2:hashCode="Hx2FIEcz0ug1zd" int2:id="QJgx3wK0">
      <int2:state int2:type="WordDesignerPullQuotesAnnotation" int2:value="Reviewed"/>
    </int2:bookmark>
    <int2:bookmark int2:bookmarkName="_Int_w4nWDOOQ" int2:invalidationBookmarkName="" int2:hashCode="g576EKRwURbs3R" int2:id="tSCZvDGt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7"/>
    <w:rsid w:val="00213304"/>
    <w:rsid w:val="00AF2257"/>
    <w:rsid w:val="00B2455F"/>
    <w:rsid w:val="00EC1EF0"/>
    <w:rsid w:val="00F93A5C"/>
    <w:rsid w:val="08ED83E5"/>
    <w:rsid w:val="11C35CDB"/>
    <w:rsid w:val="19569BB4"/>
    <w:rsid w:val="1CFAD956"/>
    <w:rsid w:val="22EF370E"/>
    <w:rsid w:val="2403A3C6"/>
    <w:rsid w:val="28612375"/>
    <w:rsid w:val="31C96AFF"/>
    <w:rsid w:val="3AA1E90A"/>
    <w:rsid w:val="42278D2F"/>
    <w:rsid w:val="45EBE727"/>
    <w:rsid w:val="4AB96E95"/>
    <w:rsid w:val="59CB848D"/>
    <w:rsid w:val="5C5F032E"/>
    <w:rsid w:val="6084E14F"/>
    <w:rsid w:val="652A71B3"/>
    <w:rsid w:val="663A615D"/>
    <w:rsid w:val="6C9A9588"/>
    <w:rsid w:val="6D43E8BB"/>
    <w:rsid w:val="6D68E9EB"/>
    <w:rsid w:val="76F6A3D4"/>
    <w:rsid w:val="7A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54B87"/>
  <w15:chartTrackingRefBased/>
  <w15:docId w15:val="{92B5BA6B-E88E-354D-913E-4D91030AE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F22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F2257"/>
  </w:style>
  <w:style w:type="character" w:styleId="eop" w:customStyle="1">
    <w:name w:val="eop"/>
    <w:basedOn w:val="DefaultParagraphFont"/>
    <w:rsid w:val="00AF2257"/>
  </w:style>
  <w:style w:type="character" w:styleId="Hyperlink">
    <w:name w:val="Hyperlink"/>
    <w:basedOn w:val="DefaultParagraphFont"/>
    <w:uiPriority w:val="99"/>
    <w:unhideWhenUsed/>
    <w:rsid w:val="00AF2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c-csc.lexum.com/scc-csc/scc-csc/en/item/656/index.do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bellroom.media/" TargetMode="External" Id="rId21" /><Relationship Type="http://schemas.openxmlformats.org/officeDocument/2006/relationships/hyperlink" Target="https://scc-csc.lexum.com/scc-csc/scc-csc/en/item/407/index.do" TargetMode="External" Id="rId7" /><Relationship Type="http://schemas.openxmlformats.org/officeDocument/2006/relationships/hyperlink" Target="https://aspercentre.ca/who-we-are-2/our-donor/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://law.utoronto.ca/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scc-csc.lexum.com/scc-csc/scc-csc/en/item/5261/index.do" TargetMode="External" Id="rId6" /><Relationship Type="http://schemas.openxmlformats.org/officeDocument/2006/relationships/hyperlink" Target="https://scc-csc.lexum.com/scc-csc/scc-csc/en/item/17078/index.do" TargetMode="External" Id="rId11" /><Relationship Type="http://schemas.openxmlformats.org/officeDocument/2006/relationships/hyperlink" Target="https://scc-csc.lexum.com/scc-csc/scc-csc/en/item/2645/index.do" TargetMode="External" Id="rId5" /><Relationship Type="http://schemas.openxmlformats.org/officeDocument/2006/relationships/hyperlink" Target="http://www.aspercentre.ca/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scc-csc.lexum.com/scc-csc/scc-csc/en/item/2182/index.do" TargetMode="External" Id="rId10" /><Relationship Type="http://schemas.openxmlformats.org/officeDocument/2006/relationships/hyperlink" Target="https://aspercentre.ca/who-we-are-2/our-staff/" TargetMode="External" Id="rId4" /><Relationship Type="http://schemas.openxmlformats.org/officeDocument/2006/relationships/hyperlink" Target="https://www.canlii.org/en/on/onca/doc/1986/1986canlii145/1986canlii145.html?autocompleteStr=blainey&amp;autocompletePos=1" TargetMode="External" Id="rId9" /><Relationship Type="http://schemas.openxmlformats.org/officeDocument/2006/relationships/hyperlink" Target="https://nawl.ca/feminist-law-reform-101/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canlii.org/fr/qc/qccs/doc/2019/2019qccs2989/2019qccs2989.html" TargetMode="External" Id="R54ef6afcfe654bbe" /><Relationship Type="http://schemas.openxmlformats.org/officeDocument/2006/relationships/hyperlink" Target="https://www.unb.ca/faculty-staff/directory/law/froc-kerri.html" TargetMode="External" Id="R7c33b3653fa14c41" /><Relationship Type="http://schemas.openxmlformats.org/officeDocument/2006/relationships/hyperlink" Target="https://www2.uottawa.ca/faculty-law/common-law/faculty/jackman-martha" TargetMode="External" Id="R7b8ce296dc704888" /><Relationship Type="http://schemas.openxmlformats.org/officeDocument/2006/relationships/hyperlink" Target="https://aspercentre.ca/wp-content/uploads/2022/09/S2E1-Section-28-Transcript.pdf" TargetMode="External" Id="R16d72c5628454858" /><Relationship Type="http://schemas.openxmlformats.org/officeDocument/2006/relationships/hyperlink" Target="https://papers.ssrn.com/sol3/papers.cfm?abstract_id=4171256" TargetMode="External" Id="Rcf9a3394491f4ffe" /><Relationship Type="http://schemas.openxmlformats.org/officeDocument/2006/relationships/hyperlink" Target="https://utoronto-my.sharepoint.com/personal/cheryl_milne_utoronto_ca/Documents/Asper%20Centre%20General/Projects/Podcast%20-%20PIllar%20Sponsorship/Show%20Notes/bit.ly/affinity-offers" TargetMode="External" Id="Re8545996dc4e4173" /><Relationship Type="http://schemas.openxmlformats.org/officeDocument/2006/relationships/hyperlink" Target="https://www.youtube.com/watch?v=gO8Jf2j2Qg4" TargetMode="External" Id="Re291a20e9e0d4622" /><Relationship Type="http://schemas.microsoft.com/office/2020/10/relationships/intelligence" Target="intelligence2.xml" Id="Rc2e98e8a8c9044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Mullins</dc:creator>
  <keywords/>
  <dc:description/>
  <lastModifiedBy>Tal Schreier</lastModifiedBy>
  <revision>6</revision>
  <dcterms:created xsi:type="dcterms:W3CDTF">2022-07-27T20:26:00.0000000Z</dcterms:created>
  <dcterms:modified xsi:type="dcterms:W3CDTF">2022-09-21T01:23:03.3051497Z</dcterms:modified>
</coreProperties>
</file>