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50D0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</w:pPr>
      <w:r w:rsidRPr="22EF370E">
        <w:rPr>
          <w:rStyle w:val="normaltextrun"/>
          <w:rFonts w:ascii="Calibri" w:hAnsi="Calibri" w:cs="Segoe UI"/>
          <w:color w:val="365F91" w:themeColor="accent1" w:themeShade="BF"/>
          <w:sz w:val="32"/>
          <w:szCs w:val="32"/>
        </w:rPr>
        <w:t>Charter: A Course</w:t>
      </w:r>
      <w:r w:rsidRPr="22EF370E"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  <w:t> </w:t>
      </w:r>
    </w:p>
    <w:p w14:paraId="309D1A46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22"/>
          <w:szCs w:val="22"/>
        </w:rPr>
        <w:t>A podcast about Canadian Constitutional Law &amp; Litigation</w:t>
      </w:r>
      <w:r>
        <w:rPr>
          <w:rStyle w:val="eop"/>
          <w:rFonts w:ascii="Calibri" w:hAnsi="Calibri" w:cs="Segoe UI"/>
          <w:color w:val="2F5496"/>
          <w:sz w:val="22"/>
          <w:szCs w:val="22"/>
        </w:rPr>
        <w:t> </w:t>
      </w:r>
    </w:p>
    <w:p w14:paraId="1605B9B0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B148A3" w14:textId="41D86814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55ECC7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 xml:space="preserve">Season 2, Episode 5: Socioeconomic </w:t>
      </w:r>
      <w:r w:rsidR="5F529F7E" w:rsidRPr="5855ECC7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>R</w:t>
      </w:r>
      <w:r w:rsidRPr="5855ECC7"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8"/>
          <w:szCs w:val="28"/>
        </w:rPr>
        <w:t>ights and the Charter</w:t>
      </w:r>
      <w:r w:rsidRPr="5855ECC7">
        <w:rPr>
          <w:rStyle w:val="eop"/>
          <w:rFonts w:ascii="Calibri" w:hAnsi="Calibri" w:cs="Segoe UI"/>
          <w:color w:val="000000" w:themeColor="text1"/>
          <w:sz w:val="28"/>
          <w:szCs w:val="28"/>
        </w:rPr>
        <w:t> </w:t>
      </w:r>
    </w:p>
    <w:p w14:paraId="503C7BCB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3B65E7D9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Series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4F7C4626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9C033B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Charter: A Course is a podcast created by the David Asper Centre for Constitutional Rights (the Asper Centre) and hosted by the Asper Centre’s Executive Director </w:t>
      </w:r>
      <w:hyperlink r:id="rId8" w:tgtFrame="_blank" w:history="1">
        <w:r w:rsidRPr="00AF2257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Cheryl Milne</w:t>
        </w:r>
      </w:hyperlink>
      <w:r w:rsidRPr="00AF2257">
        <w:rPr>
          <w:rStyle w:val="normaltextrun"/>
          <w:color w:val="000000"/>
          <w:u w:val="single"/>
        </w:rPr>
        <w:t>.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1534F010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AEA5295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Charter: A Course focuses on Canadian constitutional law and litigation. In each episode, we highlight the accomplishments of U of T Law’s faculty and alumni involved in leading constitutional cases and issues. Each episode also includes a “Practice Corner,” where we talk about the ins and outs of what it means to be a constitutional litigator. 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7A6EDD84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35046C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Whether you are a law student, a lawyer, or just an interested person, we hope that you learn about an aspect of constitutional law and litigation that interests you in our podcast.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EF75344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365F91" w:themeColor="accent1" w:themeShade="BF"/>
          <w:sz w:val="32"/>
          <w:szCs w:val="32"/>
        </w:rPr>
      </w:pPr>
    </w:p>
    <w:p w14:paraId="61421BBC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2EF370E">
        <w:rPr>
          <w:rStyle w:val="normaltextrun"/>
          <w:rFonts w:ascii="Calibri" w:hAnsi="Calibri" w:cs="Segoe UI"/>
          <w:color w:val="365F91" w:themeColor="accent1" w:themeShade="BF"/>
          <w:sz w:val="32"/>
          <w:szCs w:val="32"/>
        </w:rPr>
        <w:t>Show Notes </w:t>
      </w:r>
      <w:r w:rsidRPr="22EF370E">
        <w:rPr>
          <w:rStyle w:val="eop"/>
          <w:rFonts w:ascii="Calibri" w:hAnsi="Calibri" w:cs="Segoe UI"/>
          <w:color w:val="365F91" w:themeColor="accent1" w:themeShade="BF"/>
          <w:sz w:val="32"/>
          <w:szCs w:val="32"/>
        </w:rPr>
        <w:t> </w:t>
      </w:r>
    </w:p>
    <w:p w14:paraId="402EF8CD" w14:textId="77777777" w:rsidR="0039749B" w:rsidRPr="006C2D46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0B11E8" w14:textId="5D35CFCC" w:rsidR="0039749B" w:rsidRPr="00DF1F0C" w:rsidRDefault="0039749B" w:rsidP="184A2F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With the help of our distinguished guests, </w:t>
      </w:r>
      <w:hyperlink r:id="rId9">
        <w:r w:rsidRPr="5855ECC7">
          <w:rPr>
            <w:rStyle w:val="Hyperlink"/>
            <w:rFonts w:ascii="Calibri" w:hAnsi="Calibri" w:cs="Segoe UI"/>
            <w:sz w:val="22"/>
            <w:szCs w:val="22"/>
          </w:rPr>
          <w:t>Martha Jackman</w:t>
        </w:r>
      </w:hyperlink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and </w:t>
      </w:r>
      <w:hyperlink r:id="rId10">
        <w:r w:rsidRPr="5855ECC7">
          <w:rPr>
            <w:rStyle w:val="Hyperlink"/>
            <w:rFonts w:ascii="Calibri" w:hAnsi="Calibri" w:cs="Segoe UI"/>
            <w:sz w:val="22"/>
            <w:szCs w:val="22"/>
          </w:rPr>
          <w:t>Bruce Porter</w:t>
        </w:r>
      </w:hyperlink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, we discuss whether socioeconomic rights are protected under the enumerated provisions of the Charter of Rights and Freedoms.</w:t>
      </w:r>
      <w:r w:rsidR="3293BD8C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="2AA1D404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We hear about what socioeconomic rights entail – like the right to food, housing, and a living wage - and consider whether these rights confer positive obligations on the government. </w:t>
      </w:r>
    </w:p>
    <w:p w14:paraId="2C294A84" w14:textId="2414AF80" w:rsidR="184A2F50" w:rsidRDefault="184A2F50" w:rsidP="184A2F50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</w:p>
    <w:p w14:paraId="6BABF014" w14:textId="70FBE782" w:rsidR="0039749B" w:rsidRDefault="0039749B" w:rsidP="184A2F50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In the Practice Corner</w:t>
      </w:r>
      <w:r w:rsidR="55878508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(at 39:56)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, </w:t>
      </w:r>
      <w:hyperlink r:id="rId11">
        <w:r w:rsidRPr="5855ECC7">
          <w:rPr>
            <w:rStyle w:val="Hyperlink"/>
            <w:rFonts w:ascii="Calibri" w:hAnsi="Calibri" w:cs="Segoe UI"/>
            <w:sz w:val="22"/>
            <w:szCs w:val="22"/>
          </w:rPr>
          <w:t>Jackie Esmonde</w:t>
        </w:r>
      </w:hyperlink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joins us to discuss her experience litigating cases</w:t>
      </w:r>
      <w:r w:rsidR="00CF3E82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about socioeconomic rights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</w:t>
      </w:r>
      <w:r w:rsidR="00CF3E82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on behalf of clients and as an intervenor at the Supreme Court. </w:t>
      </w:r>
      <w:r w:rsidR="78EEFE64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We also learn about </w:t>
      </w:r>
      <w:r w:rsidR="722A1EEC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Jackie’s </w:t>
      </w:r>
      <w:r w:rsidR="2A686DBA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community-driven approach </w:t>
      </w:r>
      <w:r w:rsidR="73C33888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to practicing law and policy writing.</w:t>
      </w:r>
    </w:p>
    <w:p w14:paraId="0457F4F7" w14:textId="01B3DC51" w:rsidR="5855ECC7" w:rsidRDefault="5855ECC7" w:rsidP="5855ECC7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</w:p>
    <w:p w14:paraId="58AEB891" w14:textId="3C58AEC2" w:rsidR="5BEE1B6C" w:rsidRDefault="5BEE1B6C" w:rsidP="5855ECC7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Find a FULL TRANSCRIPT of this episode </w:t>
      </w:r>
      <w:hyperlink r:id="rId12">
        <w:r w:rsidRPr="5855ECC7">
          <w:rPr>
            <w:rStyle w:val="Hyperlink"/>
            <w:rFonts w:ascii="Calibri" w:hAnsi="Calibri" w:cs="Segoe UI"/>
            <w:sz w:val="22"/>
            <w:szCs w:val="22"/>
          </w:rPr>
          <w:t>HERE</w:t>
        </w:r>
      </w:hyperlink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. </w:t>
      </w:r>
    </w:p>
    <w:p w14:paraId="45125CBA" w14:textId="355A0237" w:rsidR="184A2F50" w:rsidRDefault="184A2F50" w:rsidP="184A2F50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</w:p>
    <w:p w14:paraId="2F41D8EA" w14:textId="77777777" w:rsidR="0039749B" w:rsidRDefault="0039749B" w:rsidP="003974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Case Links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0C2B61E0" w14:textId="1FDB36F8" w:rsidR="0039749B" w:rsidRDefault="0039749B" w:rsidP="0039749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 w:rsidRPr="00A479B3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 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this</w:t>
      </w:r>
      <w:r w:rsidRPr="00A479B3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episode, the following cases and statutes were discussed:</w:t>
      </w:r>
      <w:r w:rsidRPr="00A479B3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0D58B7F7" w14:textId="01C21AF4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3" w:history="1">
        <w:r w:rsidR="0039749B" w:rsidRPr="00BC145E">
          <w:rPr>
            <w:rStyle w:val="Hyperlink"/>
            <w:rFonts w:ascii="Calibri" w:hAnsi="Calibri" w:cs="Calibri"/>
          </w:rPr>
          <w:t>R. v. Boudreault, 2018 SCC 58</w:t>
        </w:r>
      </w:hyperlink>
    </w:p>
    <w:p w14:paraId="1F963548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4" w:history="1">
        <w:r w:rsidR="0039749B" w:rsidRPr="00BC145E">
          <w:rPr>
            <w:rStyle w:val="Hyperlink"/>
            <w:rFonts w:ascii="Calibri" w:hAnsi="Calibri" w:cs="Calibri"/>
          </w:rPr>
          <w:t>Canada (Attorney General) v. PHS Community Services Society, 2011 SCC 44</w:t>
        </w:r>
      </w:hyperlink>
    </w:p>
    <w:p w14:paraId="6086C79F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5" w:history="1">
        <w:r w:rsidR="0039749B" w:rsidRPr="00BC145E">
          <w:rPr>
            <w:rStyle w:val="Hyperlink"/>
            <w:rFonts w:ascii="Calibri" w:hAnsi="Calibri" w:cs="Calibri"/>
          </w:rPr>
          <w:t>Cambie Surgeries Corporation v. British Columbia (Attorney General), 2022 BCCA 245</w:t>
        </w:r>
      </w:hyperlink>
      <w:r w:rsidR="0039749B" w:rsidRPr="00BC145E">
        <w:rPr>
          <w:rFonts w:ascii="Calibri" w:hAnsi="Calibri" w:cs="Calibri"/>
        </w:rPr>
        <w:t xml:space="preserve"> </w:t>
      </w:r>
    </w:p>
    <w:p w14:paraId="2DA50F01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6" w:history="1">
        <w:r w:rsidR="0039749B" w:rsidRPr="00BC145E">
          <w:rPr>
            <w:rStyle w:val="Hyperlink"/>
            <w:rFonts w:ascii="Calibri" w:hAnsi="Calibri" w:cs="Calibri"/>
          </w:rPr>
          <w:t>Chaoulli v. Quebec (Attorney General), 2005 SCC 35</w:t>
        </w:r>
      </w:hyperlink>
    </w:p>
    <w:p w14:paraId="303D76F3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7" w:history="1">
        <w:r w:rsidR="0039749B" w:rsidRPr="00BC145E">
          <w:rPr>
            <w:rStyle w:val="Hyperlink"/>
            <w:rFonts w:ascii="Calibri" w:hAnsi="Calibri" w:cs="Calibri"/>
          </w:rPr>
          <w:t>Eldridge v. British Columbia (Attorney General), [1997] 3 SCR 624</w:t>
        </w:r>
      </w:hyperlink>
    </w:p>
    <w:p w14:paraId="41091D19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18">
        <w:r w:rsidR="0039749B" w:rsidRPr="5855ECC7">
          <w:rPr>
            <w:rStyle w:val="Hyperlink"/>
            <w:rFonts w:ascii="Calibri" w:hAnsi="Calibri" w:cs="Calibri"/>
          </w:rPr>
          <w:t>New Brunswick (Minister of Health and Community Services) v. G. (J.), [1999] 3 SCR 46</w:t>
        </w:r>
      </w:hyperlink>
    </w:p>
    <w:p w14:paraId="0599463E" w14:textId="15A50828" w:rsidR="31A5ECE4" w:rsidRDefault="00000000" w:rsidP="5855ECC7">
      <w:pPr>
        <w:spacing w:after="0"/>
        <w:rPr>
          <w:rStyle w:val="normaltextrun"/>
          <w:rFonts w:ascii="Calibri" w:hAnsi="Calibri" w:cs="Segoe UI"/>
          <w:color w:val="000000" w:themeColor="text1"/>
        </w:rPr>
      </w:pPr>
      <w:hyperlink r:id="rId19">
        <w:r w:rsidR="31A5ECE4" w:rsidRPr="5855ECC7">
          <w:rPr>
            <w:rStyle w:val="Hyperlink"/>
            <w:rFonts w:ascii="Calibri" w:eastAsia="Times New Roman" w:hAnsi="Calibri" w:cs="Segoe UI"/>
          </w:rPr>
          <w:t>Nevsun Resources Ltd. v. Araya 2020 SCC 5</w:t>
        </w:r>
      </w:hyperlink>
    </w:p>
    <w:p w14:paraId="15AE133D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0" w:history="1">
        <w:r w:rsidR="0039749B" w:rsidRPr="00BC145E">
          <w:rPr>
            <w:rStyle w:val="Hyperlink"/>
            <w:rFonts w:ascii="Calibri" w:hAnsi="Calibri" w:cs="Calibri"/>
          </w:rPr>
          <w:t>Gosselin v. Québec (Attorney General), 2002 SCC 84</w:t>
        </w:r>
      </w:hyperlink>
    </w:p>
    <w:p w14:paraId="5224C5C1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1" w:history="1">
        <w:r w:rsidR="0039749B" w:rsidRPr="00BC145E">
          <w:rPr>
            <w:rStyle w:val="Hyperlink"/>
            <w:rFonts w:ascii="Calibri" w:hAnsi="Calibri" w:cs="Calibri"/>
          </w:rPr>
          <w:t>Slaight Communications Inc. v. Davidson, [1989] 1 SCR 1038</w:t>
        </w:r>
      </w:hyperlink>
    </w:p>
    <w:p w14:paraId="67C35899" w14:textId="20FF6DDB" w:rsidR="0039749B" w:rsidRPr="00BC145E" w:rsidRDefault="00000000" w:rsidP="5855ECC7">
      <w:pPr>
        <w:spacing w:after="0"/>
        <w:rPr>
          <w:rFonts w:ascii="Calibri" w:hAnsi="Calibri" w:cs="Calibri"/>
        </w:rPr>
      </w:pPr>
      <w:hyperlink r:id="rId22">
        <w:r w:rsidR="0039749B" w:rsidRPr="5855ECC7">
          <w:rPr>
            <w:rStyle w:val="Hyperlink"/>
            <w:rFonts w:ascii="Calibri" w:hAnsi="Calibri" w:cs="Calibri"/>
          </w:rPr>
          <w:t xml:space="preserve">S.A. v. Metro Vancouver </w:t>
        </w:r>
        <w:r w:rsidR="0039749B" w:rsidRPr="5855ECC7">
          <w:rPr>
            <w:rFonts w:ascii="Calibri" w:hAnsi="Calibri" w:cs="Calibri"/>
            <w:color w:val="0000FF"/>
            <w:u w:val="single"/>
          </w:rPr>
          <w:t>Housing</w:t>
        </w:r>
        <w:r w:rsidR="0039749B" w:rsidRPr="5855ECC7">
          <w:rPr>
            <w:rStyle w:val="Hyperlink"/>
            <w:rFonts w:ascii="Calibri" w:hAnsi="Calibri" w:cs="Calibri"/>
          </w:rPr>
          <w:t xml:space="preserve"> Corp., 2019 SCC 4</w:t>
        </w:r>
      </w:hyperlink>
    </w:p>
    <w:p w14:paraId="4C2ADD78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3">
        <w:r w:rsidR="0039749B" w:rsidRPr="5855ECC7">
          <w:rPr>
            <w:rStyle w:val="Hyperlink"/>
            <w:rFonts w:ascii="Calibri" w:hAnsi="Calibri" w:cs="Calibri"/>
          </w:rPr>
          <w:t>Tanudjaja v. Can. (A.G.), 2014 ONCA 852</w:t>
        </w:r>
      </w:hyperlink>
    </w:p>
    <w:p w14:paraId="26AF7C2C" w14:textId="6B1CEF7A" w:rsidR="6C21C5E4" w:rsidRDefault="00000000" w:rsidP="5855ECC7">
      <w:pPr>
        <w:spacing w:after="0"/>
      </w:pPr>
      <w:hyperlink r:id="rId24">
        <w:r w:rsidR="6C21C5E4" w:rsidRPr="5855ECC7">
          <w:rPr>
            <w:rStyle w:val="Hyperlink"/>
            <w:rFonts w:ascii="Calibri" w:eastAsia="Calibri" w:hAnsi="Calibri" w:cs="Calibri"/>
          </w:rPr>
          <w:t>Toussaint v. Canada (Attorney General) 2022 ONSC 4747</w:t>
        </w:r>
      </w:hyperlink>
    </w:p>
    <w:p w14:paraId="237F100C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5">
        <w:r w:rsidR="0039749B" w:rsidRPr="5855ECC7">
          <w:rPr>
            <w:rStyle w:val="Hyperlink"/>
            <w:rFonts w:ascii="Calibri" w:hAnsi="Calibri" w:cs="Calibri"/>
          </w:rPr>
          <w:t>Vriend v. Alberta, [1998] 1 SCR 493</w:t>
        </w:r>
      </w:hyperlink>
    </w:p>
    <w:p w14:paraId="0F319A25" w14:textId="66568C91" w:rsidR="5855ECC7" w:rsidRDefault="5855ECC7" w:rsidP="5855ECC7">
      <w:pPr>
        <w:spacing w:after="0"/>
        <w:rPr>
          <w:rFonts w:ascii="Calibri" w:hAnsi="Calibri" w:cs="Calibri"/>
        </w:rPr>
      </w:pPr>
    </w:p>
    <w:p w14:paraId="5C9772D3" w14:textId="77777777" w:rsidR="0039749B" w:rsidRPr="00BC145E" w:rsidRDefault="0039749B" w:rsidP="0039749B">
      <w:pPr>
        <w:spacing w:after="0"/>
        <w:rPr>
          <w:rFonts w:ascii="Calibri" w:hAnsi="Calibri" w:cs="Calibri"/>
        </w:rPr>
      </w:pPr>
      <w:r w:rsidRPr="00BC145E">
        <w:rPr>
          <w:rFonts w:ascii="Calibri" w:hAnsi="Calibri" w:cs="Calibri"/>
        </w:rPr>
        <w:t>Statutes:</w:t>
      </w:r>
    </w:p>
    <w:p w14:paraId="391CFA05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6" w:history="1">
        <w:r w:rsidR="0039749B" w:rsidRPr="00BC145E">
          <w:rPr>
            <w:rStyle w:val="Hyperlink"/>
            <w:rFonts w:ascii="Calibri" w:hAnsi="Calibri" w:cs="Calibri"/>
          </w:rPr>
          <w:t>International Covenant on Economic, Social and Cultural Rights</w:t>
        </w:r>
      </w:hyperlink>
    </w:p>
    <w:p w14:paraId="27B064D7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7" w:history="1">
        <w:r w:rsidR="0039749B" w:rsidRPr="00BC145E">
          <w:rPr>
            <w:rStyle w:val="Hyperlink"/>
            <w:rFonts w:ascii="Calibri" w:hAnsi="Calibri" w:cs="Calibri"/>
          </w:rPr>
          <w:t>International Covenant on Civil and Political Rights</w:t>
        </w:r>
      </w:hyperlink>
    </w:p>
    <w:p w14:paraId="35194979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8" w:history="1">
        <w:r w:rsidR="0039749B" w:rsidRPr="00BC145E">
          <w:rPr>
            <w:rStyle w:val="Hyperlink"/>
            <w:rFonts w:ascii="Calibri" w:hAnsi="Calibri" w:cs="Calibri"/>
          </w:rPr>
          <w:t>National Housing Strategy Act, S.C. 2019, c. 29, s. 313</w:t>
        </w:r>
      </w:hyperlink>
    </w:p>
    <w:p w14:paraId="262477BB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29" w:history="1">
        <w:r w:rsidR="0039749B" w:rsidRPr="00BC145E">
          <w:rPr>
            <w:rStyle w:val="Hyperlink"/>
            <w:rFonts w:ascii="Calibri" w:hAnsi="Calibri" w:cs="Calibri"/>
          </w:rPr>
          <w:t>UN Declaration on the Rights of Indigenous Peoples Implementation Act</w:t>
        </w:r>
      </w:hyperlink>
      <w:r w:rsidR="0039749B" w:rsidRPr="00BC145E">
        <w:rPr>
          <w:rFonts w:ascii="Calibri" w:hAnsi="Calibri" w:cs="Calibri"/>
        </w:rPr>
        <w:t xml:space="preserve"> </w:t>
      </w:r>
    </w:p>
    <w:p w14:paraId="448AF315" w14:textId="77777777" w:rsidR="0039749B" w:rsidRPr="00BC145E" w:rsidRDefault="0039749B" w:rsidP="0039749B">
      <w:pPr>
        <w:spacing w:after="0"/>
        <w:rPr>
          <w:rFonts w:ascii="Calibri" w:hAnsi="Calibri" w:cs="Calibri"/>
        </w:rPr>
      </w:pPr>
    </w:p>
    <w:p w14:paraId="6012136E" w14:textId="219C38FC" w:rsidR="0039749B" w:rsidRPr="00BC145E" w:rsidRDefault="0039749B" w:rsidP="0039749B">
      <w:pPr>
        <w:spacing w:after="0"/>
        <w:rPr>
          <w:rFonts w:ascii="Calibri" w:hAnsi="Calibri" w:cs="Calibri"/>
        </w:rPr>
      </w:pPr>
      <w:r w:rsidRPr="00BC145E">
        <w:rPr>
          <w:rFonts w:ascii="Calibri" w:hAnsi="Calibri" w:cs="Calibri"/>
        </w:rPr>
        <w:t>The following organizations and lawyers were referenced:</w:t>
      </w:r>
    </w:p>
    <w:p w14:paraId="3EB9610F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0" w:history="1">
        <w:r w:rsidR="00BC145E" w:rsidRPr="00BC145E">
          <w:rPr>
            <w:rStyle w:val="Hyperlink"/>
            <w:rFonts w:ascii="Calibri" w:hAnsi="Calibri" w:cs="Calibri"/>
          </w:rPr>
          <w:t>Colour of Poverty – Colour of Change</w:t>
        </w:r>
      </w:hyperlink>
    </w:p>
    <w:p w14:paraId="68CD583C" w14:textId="77777777" w:rsidR="00BC145E" w:rsidRPr="00BC145E" w:rsidRDefault="00000000" w:rsidP="00BC145E">
      <w:pPr>
        <w:spacing w:after="0"/>
        <w:rPr>
          <w:rFonts w:ascii="Calibri" w:hAnsi="Calibri" w:cs="Calibri"/>
          <w:color w:val="FF0000"/>
        </w:rPr>
      </w:pPr>
      <w:hyperlink r:id="rId31" w:history="1">
        <w:r w:rsidR="00BC145E" w:rsidRPr="00BC145E">
          <w:rPr>
            <w:rStyle w:val="Hyperlink"/>
            <w:rFonts w:ascii="Calibri" w:hAnsi="Calibri" w:cs="Calibri"/>
          </w:rPr>
          <w:t>Ewa Krajewska</w:t>
        </w:r>
      </w:hyperlink>
    </w:p>
    <w:p w14:paraId="02251B61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2" w:history="1">
        <w:r w:rsidR="00BC145E" w:rsidRPr="00BC145E">
          <w:rPr>
            <w:rStyle w:val="Hyperlink"/>
            <w:rFonts w:ascii="Calibri" w:hAnsi="Calibri" w:cs="Calibri"/>
          </w:rPr>
          <w:t>FCJ Refugee Centre</w:t>
        </w:r>
      </w:hyperlink>
    </w:p>
    <w:p w14:paraId="28BEE332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3" w:history="1">
        <w:r w:rsidR="00BC145E" w:rsidRPr="00BC145E">
          <w:rPr>
            <w:rStyle w:val="Hyperlink"/>
            <w:rFonts w:ascii="Calibri" w:hAnsi="Calibri" w:cs="Calibri"/>
          </w:rPr>
          <w:t>HIV &amp; AIDS Legal Clinic Ontario (HALCO)</w:t>
        </w:r>
      </w:hyperlink>
    </w:p>
    <w:p w14:paraId="3E1EB022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4" w:history="1">
        <w:r w:rsidR="00BC145E" w:rsidRPr="00BC145E">
          <w:rPr>
            <w:rStyle w:val="Hyperlink"/>
            <w:rFonts w:ascii="Calibri" w:hAnsi="Calibri" w:cs="Calibri"/>
          </w:rPr>
          <w:t>Income Security Advocacy Centre (ISAC)</w:t>
        </w:r>
      </w:hyperlink>
    </w:p>
    <w:p w14:paraId="3A57E051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5" w:history="1">
        <w:r w:rsidR="00BC145E" w:rsidRPr="00BC145E">
          <w:rPr>
            <w:rStyle w:val="Hyperlink"/>
            <w:rFonts w:ascii="Calibri" w:hAnsi="Calibri" w:cs="Calibri"/>
          </w:rPr>
          <w:t>Migrant Workers Alliance for Change</w:t>
        </w:r>
      </w:hyperlink>
    </w:p>
    <w:p w14:paraId="584566B4" w14:textId="77777777" w:rsidR="00BC145E" w:rsidRPr="00BC145E" w:rsidRDefault="00000000" w:rsidP="00BC145E">
      <w:pPr>
        <w:spacing w:after="0"/>
        <w:rPr>
          <w:rFonts w:ascii="Calibri" w:hAnsi="Calibri" w:cs="Calibri"/>
        </w:rPr>
      </w:pPr>
      <w:hyperlink r:id="rId36" w:history="1">
        <w:r w:rsidR="00BC145E" w:rsidRPr="00BC145E">
          <w:rPr>
            <w:rStyle w:val="Hyperlink"/>
            <w:rFonts w:ascii="Calibri" w:hAnsi="Calibri" w:cs="Calibri"/>
          </w:rPr>
          <w:t>Migrant Rights Network</w:t>
        </w:r>
      </w:hyperlink>
    </w:p>
    <w:p w14:paraId="4295370D" w14:textId="77777777" w:rsidR="0039749B" w:rsidRPr="00BC145E" w:rsidRDefault="00000000" w:rsidP="0039749B">
      <w:pPr>
        <w:spacing w:after="0"/>
        <w:rPr>
          <w:rFonts w:ascii="Calibri" w:hAnsi="Calibri" w:cs="Calibri"/>
        </w:rPr>
      </w:pPr>
      <w:hyperlink r:id="rId37" w:history="1">
        <w:r w:rsidR="0039749B" w:rsidRPr="00BC145E">
          <w:rPr>
            <w:rStyle w:val="Hyperlink"/>
            <w:rFonts w:ascii="Calibri" w:hAnsi="Calibri" w:cs="Calibri"/>
          </w:rPr>
          <w:t>Social Rights Advocacy Centre</w:t>
        </w:r>
      </w:hyperlink>
    </w:p>
    <w:p w14:paraId="37D89891" w14:textId="77777777" w:rsidR="0039749B" w:rsidRPr="002D2C24" w:rsidRDefault="0039749B" w:rsidP="0039749B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Segoe UI"/>
          <w:color w:val="000000"/>
          <w:sz w:val="22"/>
          <w:szCs w:val="22"/>
        </w:rPr>
      </w:pPr>
    </w:p>
    <w:p w14:paraId="1D5F9BB0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About the Asper Centre 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77E46C87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The </w:t>
      </w:r>
      <w:hyperlink r:id="rId38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Asper Centre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, a part of the </w:t>
      </w:r>
      <w:hyperlink r:id="rId39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</w:rPr>
          <w:t>University of Toronto’s Faculty of Law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since 2008, is devoted to realizing constitutional rights through advocacy, research and education. The Centre aims to play a vital role in articulating Canada’s constitutional vision to the broader world. The cornerstone of the Centre is a legal clinic that brings together students, faculty and members of the bar to work on significant constitutional cases and advocacy initiatives. The Centre was established through a generous gift from U of T law alumnus </w:t>
      </w:r>
      <w:hyperlink r:id="rId40" w:tgtFrame="_blank" w:history="1">
        <w:r>
          <w:rPr>
            <w:rStyle w:val="normaltextrun"/>
            <w:rFonts w:ascii="Calibri" w:hAnsi="Calibri" w:cs="Segoe UI"/>
            <w:color w:val="000000"/>
            <w:sz w:val="22"/>
            <w:szCs w:val="22"/>
          </w:rPr>
          <w:t>David Asper 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</w:rPr>
        <w:t>(LLM ’07). 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11245CB9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3B05EB6A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F5496"/>
          <w:sz w:val="32"/>
          <w:szCs w:val="32"/>
        </w:rPr>
        <w:t>Thank You’s</w:t>
      </w:r>
      <w:r>
        <w:rPr>
          <w:rStyle w:val="eop"/>
          <w:rFonts w:ascii="Calibri" w:hAnsi="Calibri" w:cs="Segoe UI"/>
          <w:color w:val="2F5496"/>
          <w:sz w:val="32"/>
          <w:szCs w:val="32"/>
        </w:rPr>
        <w:t> </w:t>
      </w:r>
    </w:p>
    <w:p w14:paraId="6D2522EA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B949F1" w14:textId="1F753927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Charter: A Course is proudly sponsored by the University of Toronto’s affinity partner </w:t>
      </w:r>
      <w:r w:rsidRPr="5855ECC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TD Insurance</w:t>
      </w: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</w:t>
      </w:r>
      <w:bookmarkStart w:id="0" w:name="_Int_FU7waYbg"/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We would like to thank our sponsor, and you can discover the benefits of affinity products at </w:t>
      </w:r>
      <w:hyperlink r:id="rId41" w:tgtFrame="_blank" w:history="1">
        <w:r>
          <w:rPr>
            <w:rStyle w:val="normaltextrun"/>
            <w:rFonts w:ascii="Calibri" w:hAnsi="Calibri" w:cs="Segoe UI"/>
            <w:color w:val="0000FF"/>
            <w:sz w:val="22"/>
            <w:szCs w:val="22"/>
            <w:shd w:val="clear" w:color="auto" w:fill="FFFFFF"/>
          </w:rPr>
          <w:t>bit.ly/affinity-offers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.</w:t>
      </w:r>
      <w:bookmarkEnd w:id="0"/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135681CA" w14:textId="77777777" w:rsidR="0039749B" w:rsidRDefault="0039749B" w:rsidP="0039749B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color w:val="000000" w:themeColor="text1"/>
          <w:sz w:val="22"/>
          <w:szCs w:val="22"/>
        </w:rPr>
      </w:pPr>
    </w:p>
    <w:p w14:paraId="78BDD0AF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1" w:name="_Int_w4nWDOOQ"/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We would like to thank the creators of our theme music for Charter: A Course.</w:t>
      </w:r>
      <w:bookmarkEnd w:id="1"/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 Constitutional law professor Howie Kislowicz and law professor Rob Currie gave us the licence to use their constitutional law shanty in exchange for a donation to the Calgary Food Bank. The song’s performers are: Vanessa Carroll, Rob Currie, Howie Kislowicz, Avinash Kowshik, Anna Lund, Patricia Paradis, Elin Sigurdson, Lyle Skinner, and Dave Wright. You can listen to the entire shanty here: </w:t>
      </w:r>
      <w:hyperlink r:id="rId42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shd w:val="clear" w:color="auto" w:fill="FFFFFF"/>
          </w:rPr>
          <w:t>Charter a Course</w:t>
        </w:r>
      </w:hyperlink>
      <w:r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.  Please consider contributing to your local food bank!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4FBD385" w14:textId="77777777" w:rsidR="0039749B" w:rsidRDefault="0039749B" w:rsidP="003974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EE583A" w14:textId="0C19CE13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Thank you to </w:t>
      </w:r>
      <w:r w:rsidR="65EF0C6F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Caitlin Salvino</w:t>
      </w:r>
      <w:r w:rsidR="59615341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and Marisa Benjamin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, JD student</w:t>
      </w:r>
      <w:r w:rsidR="032B1CCB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s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 at the University of Toronto Faculty of Law </w:t>
      </w:r>
      <w:r w:rsidR="606BA058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and Asper Centre research assistants, 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for </w:t>
      </w:r>
      <w:r w:rsidR="367A9201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he</w:t>
      </w:r>
      <w:r w:rsidR="367A9201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i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r contributions to the production of this episode.  </w:t>
      </w:r>
    </w:p>
    <w:p w14:paraId="31BB8AC7" w14:textId="77777777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  </w:t>
      </w:r>
    </w:p>
    <w:p w14:paraId="02C7C8BE" w14:textId="0281AAFC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lastRenderedPageBreak/>
        <w:t>Thank you to our wonderful guests on this episode, Martha Jackman</w:t>
      </w:r>
      <w:r w:rsidR="6B51BCB2"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, Bruce Porter, and Jackie Esmonde</w:t>
      </w: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! </w:t>
      </w:r>
    </w:p>
    <w:p w14:paraId="456CC956" w14:textId="77777777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sz w:val="22"/>
          <w:szCs w:val="22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 </w:t>
      </w:r>
    </w:p>
    <w:p w14:paraId="7974B771" w14:textId="77777777" w:rsidR="0039749B" w:rsidRDefault="0039749B" w:rsidP="5855E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55ECC7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Thank you to our audio editor Liam Morrison of</w:t>
      </w:r>
      <w:r w:rsidRPr="5855ECC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 xml:space="preserve"> </w:t>
      </w:r>
      <w:hyperlink r:id="rId43" w:tgtFrame="_blank" w:history="1">
        <w:r w:rsidRPr="5855ECC7">
          <w:rPr>
            <w:rStyle w:val="normaltextrun"/>
            <w:rFonts w:ascii="Calibri" w:hAnsi="Calibri" w:cs="Segoe UI"/>
            <w:color w:val="0563C1"/>
            <w:sz w:val="22"/>
            <w:szCs w:val="22"/>
            <w:shd w:val="clear" w:color="auto" w:fill="FFFFFF"/>
          </w:rPr>
          <w:t>Bell Room Media Solutions</w:t>
        </w:r>
      </w:hyperlink>
      <w:r w:rsidRPr="5855ECC7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Segoe UI"/>
          <w:color w:val="000000"/>
          <w:shd w:val="clear" w:color="auto" w:fill="FFFFFF"/>
        </w:rPr>
        <w:t> </w:t>
      </w:r>
      <w:r>
        <w:rPr>
          <w:rStyle w:val="eop"/>
          <w:rFonts w:ascii="Calibri" w:hAnsi="Calibri" w:cs="Segoe UI"/>
          <w:color w:val="000000"/>
        </w:rPr>
        <w:t> </w:t>
      </w:r>
    </w:p>
    <w:p w14:paraId="0D79794B" w14:textId="12008B87" w:rsidR="0039749B" w:rsidRPr="00935CC9" w:rsidRDefault="0039749B" w:rsidP="5DF5C8DB">
      <w:pPr>
        <w:pStyle w:val="paragraph"/>
        <w:spacing w:before="0" w:beforeAutospacing="0" w:after="0" w:afterAutospacing="0"/>
        <w:rPr>
          <w:rStyle w:val="eop"/>
        </w:rPr>
      </w:pPr>
    </w:p>
    <w:sectPr w:rsidR="0039749B" w:rsidRPr="00935CC9" w:rsidSect="001216B9">
      <w:footerReference w:type="even" r:id="rId44"/>
      <w:footerReference w:type="default" r:id="rId45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812E" w14:textId="77777777" w:rsidR="00191063" w:rsidRDefault="00191063">
      <w:pPr>
        <w:spacing w:after="0" w:line="240" w:lineRule="auto"/>
      </w:pPr>
      <w:r>
        <w:separator/>
      </w:r>
    </w:p>
  </w:endnote>
  <w:endnote w:type="continuationSeparator" w:id="0">
    <w:p w14:paraId="2903E8C0" w14:textId="77777777" w:rsidR="00191063" w:rsidRDefault="001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FC7A" w14:textId="67CD257C" w:rsidR="001216B9" w:rsidRDefault="001216B9" w:rsidP="00A736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3CFB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59D8F97" w14:textId="33364C43" w:rsidR="001216B9" w:rsidRDefault="001216B9" w:rsidP="00A736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3CFB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89A6155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287CD7AD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586ABE9E" w14:textId="02DCB2CD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8E3CFB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6F79" w14:textId="77777777" w:rsidR="00191063" w:rsidRDefault="00191063">
      <w:pPr>
        <w:spacing w:after="0" w:line="240" w:lineRule="auto"/>
      </w:pPr>
      <w:r>
        <w:separator/>
      </w:r>
    </w:p>
  </w:footnote>
  <w:footnote w:type="continuationSeparator" w:id="0">
    <w:p w14:paraId="678CBDF9" w14:textId="77777777" w:rsidR="00191063" w:rsidRDefault="001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90D66"/>
    <w:multiLevelType w:val="hybridMultilevel"/>
    <w:tmpl w:val="4EA8E5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3012645">
    <w:abstractNumId w:val="8"/>
  </w:num>
  <w:num w:numId="2" w16cid:durableId="1805148766">
    <w:abstractNumId w:val="6"/>
  </w:num>
  <w:num w:numId="3" w16cid:durableId="1254893466">
    <w:abstractNumId w:val="5"/>
  </w:num>
  <w:num w:numId="4" w16cid:durableId="1632638918">
    <w:abstractNumId w:val="4"/>
  </w:num>
  <w:num w:numId="5" w16cid:durableId="1484657349">
    <w:abstractNumId w:val="7"/>
  </w:num>
  <w:num w:numId="6" w16cid:durableId="1296793199">
    <w:abstractNumId w:val="3"/>
  </w:num>
  <w:num w:numId="7" w16cid:durableId="52047053">
    <w:abstractNumId w:val="2"/>
  </w:num>
  <w:num w:numId="8" w16cid:durableId="1419521020">
    <w:abstractNumId w:val="1"/>
  </w:num>
  <w:num w:numId="9" w16cid:durableId="1486431422">
    <w:abstractNumId w:val="0"/>
  </w:num>
  <w:num w:numId="10" w16cid:durableId="155183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55A03"/>
    <w:rsid w:val="0006063C"/>
    <w:rsid w:val="00066610"/>
    <w:rsid w:val="0007690D"/>
    <w:rsid w:val="001216B9"/>
    <w:rsid w:val="0015074B"/>
    <w:rsid w:val="00165C1C"/>
    <w:rsid w:val="00191063"/>
    <w:rsid w:val="0029639D"/>
    <w:rsid w:val="002D53D6"/>
    <w:rsid w:val="00326F90"/>
    <w:rsid w:val="00386447"/>
    <w:rsid w:val="0039749B"/>
    <w:rsid w:val="003B3E78"/>
    <w:rsid w:val="004110B0"/>
    <w:rsid w:val="0047602B"/>
    <w:rsid w:val="00477AFB"/>
    <w:rsid w:val="004A641F"/>
    <w:rsid w:val="004B593C"/>
    <w:rsid w:val="006E2A8C"/>
    <w:rsid w:val="007749AF"/>
    <w:rsid w:val="00794EBC"/>
    <w:rsid w:val="00834B41"/>
    <w:rsid w:val="00843315"/>
    <w:rsid w:val="008640A7"/>
    <w:rsid w:val="008E3CFB"/>
    <w:rsid w:val="00930F33"/>
    <w:rsid w:val="00935CC9"/>
    <w:rsid w:val="009760CD"/>
    <w:rsid w:val="009C3AF0"/>
    <w:rsid w:val="00A12EE5"/>
    <w:rsid w:val="00A82D39"/>
    <w:rsid w:val="00AA1D8D"/>
    <w:rsid w:val="00B47730"/>
    <w:rsid w:val="00BA4C2B"/>
    <w:rsid w:val="00BC145E"/>
    <w:rsid w:val="00BD0140"/>
    <w:rsid w:val="00BD5E9D"/>
    <w:rsid w:val="00BF2F83"/>
    <w:rsid w:val="00BF4D6C"/>
    <w:rsid w:val="00C24502"/>
    <w:rsid w:val="00C52FF5"/>
    <w:rsid w:val="00C5403A"/>
    <w:rsid w:val="00CB0664"/>
    <w:rsid w:val="00CC7608"/>
    <w:rsid w:val="00CF3E82"/>
    <w:rsid w:val="00D57E81"/>
    <w:rsid w:val="00EB02EF"/>
    <w:rsid w:val="00ED3244"/>
    <w:rsid w:val="00EE5E49"/>
    <w:rsid w:val="00F2176B"/>
    <w:rsid w:val="00F362B2"/>
    <w:rsid w:val="00F9713F"/>
    <w:rsid w:val="00FC693F"/>
    <w:rsid w:val="00FE2F4A"/>
    <w:rsid w:val="020BCA66"/>
    <w:rsid w:val="0312C459"/>
    <w:rsid w:val="032B1CCB"/>
    <w:rsid w:val="04A76F1F"/>
    <w:rsid w:val="0AC33938"/>
    <w:rsid w:val="184A2F50"/>
    <w:rsid w:val="2205625C"/>
    <w:rsid w:val="2666D5C5"/>
    <w:rsid w:val="2A686DBA"/>
    <w:rsid w:val="2AA1D404"/>
    <w:rsid w:val="2EF327FD"/>
    <w:rsid w:val="31A5ECE4"/>
    <w:rsid w:val="3293BD8C"/>
    <w:rsid w:val="342F8DED"/>
    <w:rsid w:val="35D4EC21"/>
    <w:rsid w:val="367A9201"/>
    <w:rsid w:val="3A4C5C51"/>
    <w:rsid w:val="3DA3F0D0"/>
    <w:rsid w:val="55878508"/>
    <w:rsid w:val="5855ECC7"/>
    <w:rsid w:val="59615341"/>
    <w:rsid w:val="5BEE1B6C"/>
    <w:rsid w:val="5DF5C8DB"/>
    <w:rsid w:val="5F529F7E"/>
    <w:rsid w:val="606BA058"/>
    <w:rsid w:val="615E3CFE"/>
    <w:rsid w:val="65548167"/>
    <w:rsid w:val="65EF0C6F"/>
    <w:rsid w:val="66F051C8"/>
    <w:rsid w:val="67108090"/>
    <w:rsid w:val="6B51BCB2"/>
    <w:rsid w:val="6C21C5E4"/>
    <w:rsid w:val="6D8F156A"/>
    <w:rsid w:val="722A1EEC"/>
    <w:rsid w:val="73C33888"/>
    <w:rsid w:val="76ED57BF"/>
    <w:rsid w:val="78EEFE64"/>
    <w:rsid w:val="7ED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DFA99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403A"/>
    <w:rPr>
      <w:color w:val="800080" w:themeColor="followedHyperlink"/>
      <w:u w:val="single"/>
    </w:rPr>
  </w:style>
  <w:style w:type="character" w:customStyle="1" w:styleId="reflex3-block">
    <w:name w:val="reflex3-block"/>
    <w:basedOn w:val="DefaultParagraphFont"/>
    <w:rsid w:val="00F362B2"/>
  </w:style>
  <w:style w:type="paragraph" w:customStyle="1" w:styleId="paragraph">
    <w:name w:val="paragraph"/>
    <w:basedOn w:val="Normal"/>
    <w:rsid w:val="0039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39749B"/>
  </w:style>
  <w:style w:type="character" w:customStyle="1" w:styleId="eop">
    <w:name w:val="eop"/>
    <w:basedOn w:val="DefaultParagraphFont"/>
    <w:rsid w:val="0039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c-csc.lexum.com/scc-csc/scc-csc/en/item/17416/index.do" TargetMode="External"/><Relationship Id="rId18" Type="http://schemas.openxmlformats.org/officeDocument/2006/relationships/hyperlink" Target="https://scc-csc.lexum.com/scc-csc/scc-csc/en/item/1725/index.do" TargetMode="External"/><Relationship Id="rId26" Type="http://schemas.openxmlformats.org/officeDocument/2006/relationships/hyperlink" Target="https://www.ohchr.org/en/instruments-mechanisms/instruments/international-covenant-economic-social-and-cultural-rights" TargetMode="External"/><Relationship Id="rId39" Type="http://schemas.openxmlformats.org/officeDocument/2006/relationships/hyperlink" Target="http://law.utoronto.ca/" TargetMode="External"/><Relationship Id="rId21" Type="http://schemas.openxmlformats.org/officeDocument/2006/relationships/hyperlink" Target="https://scc-csc.lexum.com/scc-csc/scc-csc/en/item/450/index.do" TargetMode="External"/><Relationship Id="rId34" Type="http://schemas.openxmlformats.org/officeDocument/2006/relationships/hyperlink" Target="https://incomesecurity.org/" TargetMode="External"/><Relationship Id="rId42" Type="http://schemas.openxmlformats.org/officeDocument/2006/relationships/hyperlink" Target="https://www.youtube.com/watch?v=gO8Jf2j2Qg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c-csc.lexum.com/scc-csc/scc-csc/en/item/2237/index.do" TargetMode="External"/><Relationship Id="rId29" Type="http://schemas.openxmlformats.org/officeDocument/2006/relationships/hyperlink" Target="https://www.justice.gc.ca/eng/declar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valluzzo.com/lawyers/bio/jackie-esmonde" TargetMode="External"/><Relationship Id="rId24" Type="http://schemas.openxmlformats.org/officeDocument/2006/relationships/hyperlink" Target="https://www.socialrights.ca/2022/Toussaint%20v%20Canada%20OSC%20Decn.pdf" TargetMode="External"/><Relationship Id="rId32" Type="http://schemas.openxmlformats.org/officeDocument/2006/relationships/hyperlink" Target="https://www.fcjrefugeecentre.org/" TargetMode="External"/><Relationship Id="rId37" Type="http://schemas.openxmlformats.org/officeDocument/2006/relationships/hyperlink" Target="https://www.socialrights.ca/" TargetMode="External"/><Relationship Id="rId40" Type="http://schemas.openxmlformats.org/officeDocument/2006/relationships/hyperlink" Target="https://aspercentre.ca/who-we-are-2/our-donor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anlii.org/en/bc/bcca/doc/2022/2022bcca245/2022bcca245.html" TargetMode="External"/><Relationship Id="rId23" Type="http://schemas.openxmlformats.org/officeDocument/2006/relationships/hyperlink" Target="https://www.canlii.org/en/on/onca/doc/2014/2014onca852/2014onca852.html" TargetMode="External"/><Relationship Id="rId28" Type="http://schemas.openxmlformats.org/officeDocument/2006/relationships/hyperlink" Target="https://laws-lois.justice.gc.ca/eng/acts/n-11.2/FullText.html" TargetMode="External"/><Relationship Id="rId36" Type="http://schemas.openxmlformats.org/officeDocument/2006/relationships/hyperlink" Target="https://migrantrights.ca/" TargetMode="External"/><Relationship Id="rId10" Type="http://schemas.openxmlformats.org/officeDocument/2006/relationships/hyperlink" Target="https://www.socialrights.ca/bruce%20porter.html" TargetMode="External"/><Relationship Id="rId19" Type="http://schemas.openxmlformats.org/officeDocument/2006/relationships/hyperlink" Target="https://decisions.scc-csc.ca/scc-csc/scc-csc/en/item/18169/index.do" TargetMode="External"/><Relationship Id="rId31" Type="http://schemas.openxmlformats.org/officeDocument/2006/relationships/hyperlink" Target="https://hhllp.ca/ewa-krajewska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uottawa.ca/faculty-law/common-law/faculty/jackman-martha" TargetMode="External"/><Relationship Id="rId14" Type="http://schemas.openxmlformats.org/officeDocument/2006/relationships/hyperlink" Target="https://scc-csc.lexum.com/scc-csc/scc-csc/en/item/7960/index.do" TargetMode="External"/><Relationship Id="rId22" Type="http://schemas.openxmlformats.org/officeDocument/2006/relationships/hyperlink" Target="https://scc-csc.lexum.com/scc-csc/scc-csc/en/item/17473/index.do" TargetMode="External"/><Relationship Id="rId27" Type="http://schemas.openxmlformats.org/officeDocument/2006/relationships/hyperlink" Target="https://www.ohchr.org/en/instruments-mechanisms/instruments/international-covenant-civil-and-political-rights" TargetMode="External"/><Relationship Id="rId30" Type="http://schemas.openxmlformats.org/officeDocument/2006/relationships/hyperlink" Target="https://colourofpoverty.ca/" TargetMode="External"/><Relationship Id="rId35" Type="http://schemas.openxmlformats.org/officeDocument/2006/relationships/hyperlink" Target="https://migrantworkersalliance.org/" TargetMode="External"/><Relationship Id="rId43" Type="http://schemas.openxmlformats.org/officeDocument/2006/relationships/hyperlink" Target="http://www.bellroom.media/" TargetMode="External"/><Relationship Id="rId8" Type="http://schemas.openxmlformats.org/officeDocument/2006/relationships/hyperlink" Target="https://aspercentre.ca/who-we-are-2/our-staff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spercentre.ca/wp-content/uploads/2022/11/S2E5-Socioeconomic-Rights-and-the-Charter-Transcript-FINAL.pdf" TargetMode="External"/><Relationship Id="rId17" Type="http://schemas.openxmlformats.org/officeDocument/2006/relationships/hyperlink" Target="https://scc-csc.lexum.com/scc-csc/scc-csc/en/item/1552/index.do" TargetMode="External"/><Relationship Id="rId25" Type="http://schemas.openxmlformats.org/officeDocument/2006/relationships/hyperlink" Target="https://scc-csc.lexum.com/scc-csc/scc-csc/en/item/1607/index.do" TargetMode="External"/><Relationship Id="rId33" Type="http://schemas.openxmlformats.org/officeDocument/2006/relationships/hyperlink" Target="https://www.halco.org/" TargetMode="External"/><Relationship Id="rId38" Type="http://schemas.openxmlformats.org/officeDocument/2006/relationships/hyperlink" Target="http://www.aspercentre.c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cc-csc.lexum.com/scc-csc/scc-csc/en/item/2027/index.do" TargetMode="External"/><Relationship Id="rId41" Type="http://schemas.openxmlformats.org/officeDocument/2006/relationships/hyperlink" Target="bit.ly/affinity-off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6248</Characters>
  <Application>Microsoft Office Word</Application>
  <DocSecurity>0</DocSecurity>
  <Lines>52</Lines>
  <Paragraphs>14</Paragraphs>
  <ScaleCrop>false</ScaleCrop>
  <Manager/>
  <Company/>
  <LinksUpToDate>false</LinksUpToDate>
  <CharactersWithSpaces>7329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Tal Schreier</cp:lastModifiedBy>
  <cp:revision>12</cp:revision>
  <dcterms:created xsi:type="dcterms:W3CDTF">2022-10-14T22:25:00Z</dcterms:created>
  <dcterms:modified xsi:type="dcterms:W3CDTF">2022-11-24T21:54:00Z</dcterms:modified>
  <cp:category/>
</cp:coreProperties>
</file>